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A5" w:rsidRPr="000F1A66" w:rsidRDefault="006455A5" w:rsidP="006455A5">
      <w:r w:rsidRPr="000F1A66">
        <w:t>Dodatak XII</w:t>
      </w:r>
    </w:p>
    <w:p w:rsidR="006455A5" w:rsidRPr="000F1A66" w:rsidRDefault="006455A5" w:rsidP="006455A5"/>
    <w:p w:rsidR="006455A5" w:rsidRPr="000F1A66" w:rsidRDefault="006455A5" w:rsidP="006455A5">
      <w:pPr>
        <w:spacing w:line="100" w:lineRule="atLeast"/>
        <w:ind w:left="11896"/>
        <w:rPr>
          <w:rFonts w:ascii="Palatino Linotype" w:hAnsi="Palatino Linotype" w:cs="Palatino Linotype"/>
          <w:b/>
        </w:rPr>
      </w:pPr>
      <w:r w:rsidRPr="000F1A66">
        <w:rPr>
          <w:rFonts w:ascii="Palatino Linotype" w:hAnsi="Palatino Linotype" w:cs="Palatino Linotype"/>
          <w:b/>
        </w:rPr>
        <w:t>Obrazac ONTO</w:t>
      </w:r>
    </w:p>
    <w:p w:rsidR="006455A5" w:rsidRPr="000F1A66" w:rsidRDefault="006455A5" w:rsidP="006455A5">
      <w:pPr>
        <w:jc w:val="center"/>
        <w:rPr>
          <w:rFonts w:ascii="Palatino Linotype" w:hAnsi="Palatino Linotype" w:cs="Arial"/>
          <w:b/>
          <w:sz w:val="26"/>
          <w:szCs w:val="26"/>
        </w:rPr>
      </w:pPr>
      <w:r w:rsidRPr="000F1A66">
        <w:rPr>
          <w:rFonts w:ascii="Palatino Linotype" w:hAnsi="Palatino Linotype" w:cs="Arial"/>
          <w:b/>
          <w:sz w:val="26"/>
          <w:szCs w:val="26"/>
        </w:rPr>
        <w:t>OČEVIDNIK O NASTANKU I TIJEKU OTPADA</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223"/>
        <w:gridCol w:w="1428"/>
        <w:gridCol w:w="1494"/>
        <w:gridCol w:w="3774"/>
        <w:gridCol w:w="2236"/>
        <w:gridCol w:w="571"/>
        <w:gridCol w:w="3365"/>
      </w:tblGrid>
      <w:tr w:rsidR="006455A5" w:rsidRPr="000F1A66" w:rsidTr="00E30C14">
        <w:trPr>
          <w:trHeight w:val="54"/>
        </w:trPr>
        <w:tc>
          <w:tcPr>
            <w:tcW w:w="4789" w:type="dxa"/>
            <w:gridSpan w:val="4"/>
            <w:tcBorders>
              <w:bottom w:val="nil"/>
              <w:right w:val="nil"/>
            </w:tcBorders>
            <w:shd w:val="clear" w:color="auto" w:fill="auto"/>
          </w:tcPr>
          <w:p w:rsidR="006455A5" w:rsidRPr="000F1A66" w:rsidRDefault="006455A5" w:rsidP="00E30C14">
            <w:pPr>
              <w:pStyle w:val="Bezproreda"/>
              <w:rPr>
                <w:rFonts w:ascii="Palatino Linotype" w:hAnsi="Palatino Linotype" w:cs="Arial"/>
                <w:sz w:val="20"/>
                <w:szCs w:val="20"/>
              </w:rPr>
            </w:pPr>
            <w:r w:rsidRPr="000F1A66">
              <w:rPr>
                <w:rFonts w:ascii="Palatino Linotype" w:hAnsi="Palatino Linotype"/>
                <w:sz w:val="20"/>
                <w:szCs w:val="20"/>
              </w:rPr>
              <w:t>Tvrtka</w:t>
            </w:r>
            <w:r w:rsidRPr="000F1A66">
              <w:rPr>
                <w:rFonts w:ascii="Palatino Linotype" w:hAnsi="Palatino Linotype"/>
                <w:b/>
                <w:sz w:val="20"/>
                <w:szCs w:val="20"/>
              </w:rPr>
              <w:t>:</w:t>
            </w:r>
            <w:r w:rsidRPr="000F1A66">
              <w:rPr>
                <w:rFonts w:ascii="Palatino Linotype" w:hAnsi="Palatino Linotype" w:cs="Arial"/>
                <w:sz w:val="20"/>
                <w:szCs w:val="20"/>
              </w:rPr>
              <w:t xml:space="preserve"> </w:t>
            </w:r>
          </w:p>
        </w:tc>
        <w:tc>
          <w:tcPr>
            <w:tcW w:w="6581" w:type="dxa"/>
            <w:gridSpan w:val="3"/>
            <w:tcBorders>
              <w:left w:val="nil"/>
              <w:bottom w:val="nil"/>
              <w:right w:val="nil"/>
            </w:tcBorders>
            <w:shd w:val="clear" w:color="auto" w:fill="auto"/>
          </w:tcPr>
          <w:p w:rsidR="006455A5" w:rsidRPr="000F1A66" w:rsidRDefault="006455A5" w:rsidP="00E30C14">
            <w:pPr>
              <w:pStyle w:val="Bezproreda"/>
              <w:rPr>
                <w:rFonts w:ascii="Palatino Linotype" w:hAnsi="Palatino Linotype"/>
                <w:sz w:val="20"/>
                <w:szCs w:val="20"/>
              </w:rPr>
            </w:pPr>
            <w:r w:rsidRPr="000F1A66">
              <w:rPr>
                <w:rFonts w:ascii="Palatino Linotype" w:hAnsi="Palatino Linotype"/>
                <w:sz w:val="20"/>
                <w:szCs w:val="20"/>
              </w:rPr>
              <w:t xml:space="preserve">Lokacija: </w:t>
            </w:r>
          </w:p>
        </w:tc>
        <w:tc>
          <w:tcPr>
            <w:tcW w:w="3365" w:type="dxa"/>
            <w:tcBorders>
              <w:left w:val="nil"/>
              <w:bottom w:val="nil"/>
            </w:tcBorders>
            <w:shd w:val="clear" w:color="auto" w:fill="auto"/>
          </w:tcPr>
          <w:p w:rsidR="006455A5" w:rsidRPr="000F1A66" w:rsidRDefault="006455A5" w:rsidP="00E30C14">
            <w:pPr>
              <w:pStyle w:val="Bezproreda"/>
              <w:rPr>
                <w:rFonts w:ascii="Palatino Linotype" w:hAnsi="Palatino Linotype"/>
                <w:sz w:val="20"/>
                <w:szCs w:val="20"/>
              </w:rPr>
            </w:pPr>
            <w:r w:rsidRPr="000F1A66">
              <w:rPr>
                <w:rFonts w:ascii="Palatino Linotype" w:hAnsi="Palatino Linotype"/>
                <w:sz w:val="20"/>
                <w:szCs w:val="20"/>
              </w:rPr>
              <w:t xml:space="preserve">Godina: </w:t>
            </w:r>
          </w:p>
        </w:tc>
      </w:tr>
      <w:tr w:rsidR="006455A5" w:rsidRPr="000F1A66" w:rsidTr="00E30C14">
        <w:trPr>
          <w:trHeight w:val="54"/>
        </w:trPr>
        <w:tc>
          <w:tcPr>
            <w:tcW w:w="4789" w:type="dxa"/>
            <w:gridSpan w:val="4"/>
            <w:tcBorders>
              <w:top w:val="nil"/>
              <w:bottom w:val="nil"/>
              <w:right w:val="nil"/>
            </w:tcBorders>
            <w:shd w:val="clear" w:color="auto" w:fill="auto"/>
          </w:tcPr>
          <w:p w:rsidR="006455A5" w:rsidRPr="000F1A66" w:rsidRDefault="006455A5" w:rsidP="00E30C14">
            <w:pPr>
              <w:pStyle w:val="Bezproreda"/>
              <w:rPr>
                <w:rFonts w:ascii="Palatino Linotype" w:hAnsi="Palatino Linotype" w:cs="Arial"/>
                <w:sz w:val="20"/>
                <w:szCs w:val="20"/>
              </w:rPr>
            </w:pPr>
            <w:r w:rsidRPr="000F1A66">
              <w:rPr>
                <w:rFonts w:ascii="Palatino Linotype" w:hAnsi="Palatino Linotype"/>
                <w:sz w:val="20"/>
                <w:szCs w:val="20"/>
              </w:rPr>
              <w:t xml:space="preserve">Sjedište: </w:t>
            </w:r>
          </w:p>
        </w:tc>
        <w:tc>
          <w:tcPr>
            <w:tcW w:w="6581" w:type="dxa"/>
            <w:gridSpan w:val="3"/>
            <w:tcBorders>
              <w:top w:val="nil"/>
              <w:left w:val="nil"/>
              <w:bottom w:val="nil"/>
              <w:right w:val="nil"/>
            </w:tcBorders>
            <w:shd w:val="clear" w:color="auto" w:fill="auto"/>
          </w:tcPr>
          <w:p w:rsidR="006455A5" w:rsidRPr="000F1A66" w:rsidRDefault="006455A5" w:rsidP="00E30C14">
            <w:pPr>
              <w:pStyle w:val="Bezproreda"/>
              <w:rPr>
                <w:rFonts w:ascii="Palatino Linotype" w:hAnsi="Palatino Linotype"/>
                <w:sz w:val="20"/>
                <w:szCs w:val="20"/>
              </w:rPr>
            </w:pPr>
          </w:p>
        </w:tc>
        <w:tc>
          <w:tcPr>
            <w:tcW w:w="3365" w:type="dxa"/>
            <w:tcBorders>
              <w:top w:val="nil"/>
              <w:left w:val="nil"/>
              <w:bottom w:val="nil"/>
            </w:tcBorders>
            <w:shd w:val="clear" w:color="auto" w:fill="auto"/>
          </w:tcPr>
          <w:p w:rsidR="006455A5" w:rsidRPr="000F1A66" w:rsidRDefault="006455A5" w:rsidP="00E30C14">
            <w:pPr>
              <w:pStyle w:val="Bezproreda"/>
              <w:rPr>
                <w:rFonts w:ascii="Palatino Linotype" w:hAnsi="Palatino Linotype"/>
                <w:sz w:val="20"/>
                <w:szCs w:val="20"/>
              </w:rPr>
            </w:pPr>
            <w:r w:rsidRPr="000F1A66">
              <w:rPr>
                <w:rFonts w:ascii="Palatino Linotype" w:hAnsi="Palatino Linotype"/>
                <w:sz w:val="20"/>
                <w:szCs w:val="20"/>
              </w:rPr>
              <w:t>Datum otvaranja:</w:t>
            </w:r>
          </w:p>
        </w:tc>
      </w:tr>
      <w:tr w:rsidR="006455A5" w:rsidRPr="000F1A66" w:rsidTr="00E30C14">
        <w:trPr>
          <w:trHeight w:val="54"/>
        </w:trPr>
        <w:tc>
          <w:tcPr>
            <w:tcW w:w="4789" w:type="dxa"/>
            <w:gridSpan w:val="4"/>
            <w:tcBorders>
              <w:top w:val="nil"/>
              <w:bottom w:val="single" w:sz="4" w:space="0" w:color="auto"/>
              <w:right w:val="nil"/>
            </w:tcBorders>
            <w:shd w:val="clear" w:color="auto" w:fill="auto"/>
          </w:tcPr>
          <w:p w:rsidR="006455A5" w:rsidRPr="000F1A66" w:rsidRDefault="006455A5" w:rsidP="00E30C14">
            <w:pPr>
              <w:pStyle w:val="Bezproreda"/>
              <w:rPr>
                <w:rFonts w:ascii="Palatino Linotype" w:hAnsi="Palatino Linotype"/>
                <w:sz w:val="20"/>
                <w:szCs w:val="20"/>
              </w:rPr>
            </w:pPr>
            <w:r w:rsidRPr="000F1A66">
              <w:rPr>
                <w:rFonts w:ascii="Palatino Linotype" w:hAnsi="Palatino Linotype"/>
                <w:sz w:val="20"/>
                <w:szCs w:val="20"/>
              </w:rPr>
              <w:t>Odgovorna osoba:</w:t>
            </w:r>
          </w:p>
        </w:tc>
        <w:tc>
          <w:tcPr>
            <w:tcW w:w="6581" w:type="dxa"/>
            <w:gridSpan w:val="3"/>
            <w:tcBorders>
              <w:top w:val="nil"/>
              <w:left w:val="nil"/>
              <w:bottom w:val="single" w:sz="4" w:space="0" w:color="auto"/>
              <w:right w:val="nil"/>
            </w:tcBorders>
            <w:shd w:val="clear" w:color="auto" w:fill="auto"/>
          </w:tcPr>
          <w:p w:rsidR="006455A5" w:rsidRPr="000F1A66" w:rsidRDefault="006455A5" w:rsidP="00E30C14">
            <w:pPr>
              <w:pStyle w:val="Bezproreda"/>
              <w:rPr>
                <w:rFonts w:ascii="Palatino Linotype" w:hAnsi="Palatino Linotype"/>
                <w:sz w:val="20"/>
                <w:szCs w:val="20"/>
              </w:rPr>
            </w:pPr>
            <w:r w:rsidRPr="000F1A66">
              <w:rPr>
                <w:rFonts w:ascii="Palatino Linotype" w:hAnsi="Palatino Linotype"/>
                <w:sz w:val="20"/>
                <w:szCs w:val="20"/>
              </w:rPr>
              <w:t xml:space="preserve">Ključni broj otpada:  </w:t>
            </w:r>
          </w:p>
        </w:tc>
        <w:tc>
          <w:tcPr>
            <w:tcW w:w="3365" w:type="dxa"/>
            <w:tcBorders>
              <w:top w:val="nil"/>
              <w:left w:val="nil"/>
              <w:bottom w:val="single" w:sz="4" w:space="0" w:color="auto"/>
            </w:tcBorders>
            <w:shd w:val="clear" w:color="auto" w:fill="auto"/>
          </w:tcPr>
          <w:p w:rsidR="006455A5" w:rsidRPr="000F1A66" w:rsidRDefault="006455A5" w:rsidP="00E30C14">
            <w:pPr>
              <w:pStyle w:val="Bezproreda"/>
              <w:rPr>
                <w:rFonts w:ascii="Palatino Linotype" w:hAnsi="Palatino Linotype"/>
                <w:sz w:val="20"/>
                <w:szCs w:val="20"/>
              </w:rPr>
            </w:pPr>
            <w:r w:rsidRPr="000F1A66">
              <w:rPr>
                <w:rFonts w:ascii="Palatino Linotype" w:hAnsi="Palatino Linotype"/>
                <w:sz w:val="20"/>
                <w:szCs w:val="20"/>
              </w:rPr>
              <w:t xml:space="preserve">Datum zatvaranja: </w:t>
            </w:r>
          </w:p>
        </w:tc>
      </w:tr>
      <w:tr w:rsidR="006455A5" w:rsidRPr="000F1A66" w:rsidTr="00E30C14">
        <w:trPr>
          <w:trHeight w:val="20"/>
        </w:trPr>
        <w:tc>
          <w:tcPr>
            <w:tcW w:w="14735" w:type="dxa"/>
            <w:gridSpan w:val="8"/>
            <w:tcBorders>
              <w:top w:val="single" w:sz="4" w:space="0" w:color="auto"/>
              <w:right w:val="single" w:sz="4" w:space="0" w:color="auto"/>
            </w:tcBorders>
            <w:shd w:val="clear" w:color="auto" w:fill="F2F2F2"/>
          </w:tcPr>
          <w:p w:rsidR="006455A5" w:rsidRPr="000F1A66" w:rsidRDefault="006455A5" w:rsidP="00E30C14">
            <w:pPr>
              <w:jc w:val="center"/>
              <w:rPr>
                <w:rFonts w:ascii="Palatino Linotype" w:hAnsi="Palatino Linotype" w:cs="Arial"/>
                <w:b/>
                <w:sz w:val="20"/>
                <w:szCs w:val="20"/>
              </w:rPr>
            </w:pPr>
            <w:r w:rsidRPr="000F1A66">
              <w:rPr>
                <w:rFonts w:ascii="Palatino Linotype" w:hAnsi="Palatino Linotype" w:cs="Arial"/>
                <w:b/>
                <w:sz w:val="20"/>
                <w:szCs w:val="20"/>
              </w:rPr>
              <w:t>PODACI O TIJEKU OTPADA</w:t>
            </w:r>
          </w:p>
        </w:tc>
      </w:tr>
      <w:tr w:rsidR="006455A5" w:rsidRPr="000F1A66" w:rsidTr="00E30C14">
        <w:trPr>
          <w:trHeight w:val="409"/>
        </w:trPr>
        <w:tc>
          <w:tcPr>
            <w:tcW w:w="0" w:type="auto"/>
            <w:shd w:val="clear" w:color="auto" w:fill="F2F2F2"/>
            <w:vAlign w:val="center"/>
          </w:tcPr>
          <w:p w:rsidR="006455A5" w:rsidRPr="000F1A66" w:rsidRDefault="006455A5" w:rsidP="00E30C14">
            <w:pPr>
              <w:jc w:val="center"/>
              <w:rPr>
                <w:rFonts w:ascii="Palatino Linotype" w:hAnsi="Palatino Linotype" w:cs="Arial"/>
                <w:b/>
                <w:sz w:val="20"/>
                <w:szCs w:val="20"/>
              </w:rPr>
            </w:pPr>
            <w:r w:rsidRPr="000F1A66">
              <w:rPr>
                <w:rFonts w:ascii="Palatino Linotype" w:hAnsi="Palatino Linotype" w:cs="Arial"/>
                <w:b/>
                <w:sz w:val="20"/>
                <w:szCs w:val="20"/>
              </w:rPr>
              <w:t>BR.</w:t>
            </w:r>
          </w:p>
        </w:tc>
        <w:tc>
          <w:tcPr>
            <w:tcW w:w="0" w:type="auto"/>
            <w:shd w:val="clear" w:color="auto" w:fill="F2F2F2"/>
            <w:vAlign w:val="center"/>
          </w:tcPr>
          <w:p w:rsidR="006455A5" w:rsidRPr="000F1A66" w:rsidRDefault="006455A5" w:rsidP="00E30C14">
            <w:pPr>
              <w:jc w:val="center"/>
              <w:rPr>
                <w:rFonts w:ascii="Palatino Linotype" w:hAnsi="Palatino Linotype" w:cs="Arial"/>
                <w:b/>
                <w:sz w:val="20"/>
                <w:szCs w:val="20"/>
              </w:rPr>
            </w:pPr>
            <w:r w:rsidRPr="000F1A66">
              <w:rPr>
                <w:rFonts w:ascii="Palatino Linotype" w:hAnsi="Palatino Linotype" w:cs="Arial"/>
                <w:b/>
                <w:sz w:val="20"/>
                <w:szCs w:val="20"/>
              </w:rPr>
              <w:t>DATUM</w:t>
            </w:r>
          </w:p>
        </w:tc>
        <w:tc>
          <w:tcPr>
            <w:tcW w:w="0" w:type="auto"/>
            <w:shd w:val="clear" w:color="auto" w:fill="F2F2F2"/>
            <w:vAlign w:val="center"/>
          </w:tcPr>
          <w:p w:rsidR="006455A5" w:rsidRPr="000F1A66" w:rsidRDefault="006455A5" w:rsidP="00E30C14">
            <w:pPr>
              <w:jc w:val="center"/>
              <w:rPr>
                <w:rFonts w:ascii="Palatino Linotype" w:hAnsi="Palatino Linotype" w:cs="Arial"/>
                <w:b/>
                <w:sz w:val="20"/>
                <w:szCs w:val="20"/>
              </w:rPr>
            </w:pPr>
            <w:r w:rsidRPr="000F1A66">
              <w:rPr>
                <w:rFonts w:ascii="Palatino Linotype" w:hAnsi="Palatino Linotype" w:cs="Arial"/>
                <w:b/>
                <w:sz w:val="20"/>
                <w:szCs w:val="20"/>
              </w:rPr>
              <w:t>ULAZ (kg)</w:t>
            </w:r>
          </w:p>
        </w:tc>
        <w:tc>
          <w:tcPr>
            <w:tcW w:w="0" w:type="auto"/>
            <w:shd w:val="clear" w:color="auto" w:fill="F2F2F2"/>
            <w:vAlign w:val="center"/>
          </w:tcPr>
          <w:p w:rsidR="006455A5" w:rsidRPr="000F1A66" w:rsidRDefault="006455A5" w:rsidP="00E30C14">
            <w:pPr>
              <w:jc w:val="center"/>
              <w:rPr>
                <w:rFonts w:ascii="Palatino Linotype" w:hAnsi="Palatino Linotype" w:cs="Arial"/>
                <w:sz w:val="20"/>
                <w:szCs w:val="20"/>
              </w:rPr>
            </w:pPr>
            <w:r w:rsidRPr="000F1A66">
              <w:rPr>
                <w:rFonts w:ascii="Palatino Linotype" w:hAnsi="Palatino Linotype" w:cs="Arial"/>
                <w:b/>
                <w:sz w:val="20"/>
                <w:szCs w:val="20"/>
              </w:rPr>
              <w:t>IZLAZ (kg)</w:t>
            </w:r>
          </w:p>
        </w:tc>
        <w:tc>
          <w:tcPr>
            <w:tcW w:w="3774" w:type="dxa"/>
            <w:shd w:val="clear" w:color="auto" w:fill="F2F2F2"/>
            <w:vAlign w:val="center"/>
          </w:tcPr>
          <w:p w:rsidR="006455A5" w:rsidRPr="000F1A66" w:rsidRDefault="006455A5" w:rsidP="00E30C14">
            <w:pPr>
              <w:jc w:val="center"/>
              <w:rPr>
                <w:rFonts w:ascii="Palatino Linotype" w:hAnsi="Palatino Linotype" w:cs="Arial"/>
                <w:sz w:val="20"/>
                <w:szCs w:val="20"/>
              </w:rPr>
            </w:pPr>
            <w:r w:rsidRPr="000F1A66">
              <w:rPr>
                <w:rFonts w:ascii="Palatino Linotype" w:hAnsi="Palatino Linotype" w:cs="Arial"/>
                <w:b/>
                <w:sz w:val="20"/>
                <w:szCs w:val="20"/>
              </w:rPr>
              <w:t>NAČIN</w:t>
            </w:r>
          </w:p>
        </w:tc>
        <w:tc>
          <w:tcPr>
            <w:tcW w:w="2236" w:type="dxa"/>
            <w:shd w:val="clear" w:color="auto" w:fill="F2F2F2"/>
            <w:vAlign w:val="center"/>
          </w:tcPr>
          <w:p w:rsidR="006455A5" w:rsidRPr="000F1A66" w:rsidRDefault="006455A5" w:rsidP="00E30C14">
            <w:pPr>
              <w:jc w:val="center"/>
              <w:rPr>
                <w:rFonts w:ascii="Palatino Linotype" w:hAnsi="Palatino Linotype" w:cs="Arial"/>
                <w:sz w:val="20"/>
                <w:szCs w:val="20"/>
              </w:rPr>
            </w:pPr>
            <w:r w:rsidRPr="000F1A66">
              <w:rPr>
                <w:rFonts w:ascii="Palatino Linotype" w:hAnsi="Palatino Linotype" w:cs="Arial"/>
                <w:b/>
                <w:sz w:val="20"/>
                <w:szCs w:val="20"/>
              </w:rPr>
              <w:t>STANJE (kg)</w:t>
            </w:r>
          </w:p>
        </w:tc>
        <w:tc>
          <w:tcPr>
            <w:tcW w:w="3936" w:type="dxa"/>
            <w:gridSpan w:val="2"/>
            <w:tcBorders>
              <w:bottom w:val="single" w:sz="4" w:space="0" w:color="auto"/>
            </w:tcBorders>
            <w:shd w:val="clear" w:color="auto" w:fill="F2F2F2"/>
            <w:vAlign w:val="center"/>
          </w:tcPr>
          <w:p w:rsidR="006455A5" w:rsidRPr="000F1A66" w:rsidRDefault="006455A5" w:rsidP="00E30C14">
            <w:pPr>
              <w:jc w:val="center"/>
              <w:rPr>
                <w:rFonts w:ascii="Palatino Linotype" w:hAnsi="Palatino Linotype" w:cs="Arial"/>
                <w:b/>
                <w:sz w:val="20"/>
                <w:szCs w:val="20"/>
              </w:rPr>
            </w:pPr>
            <w:r w:rsidRPr="000F1A66">
              <w:rPr>
                <w:rFonts w:ascii="Palatino Linotype" w:hAnsi="Palatino Linotype" w:cs="Arial"/>
                <w:b/>
                <w:sz w:val="20"/>
                <w:szCs w:val="20"/>
              </w:rPr>
              <w:t>Napomena</w:t>
            </w:r>
          </w:p>
        </w:tc>
      </w:tr>
      <w:tr w:rsidR="006455A5" w:rsidRPr="000F1A66" w:rsidTr="00E30C14">
        <w:tc>
          <w:tcPr>
            <w:tcW w:w="0" w:type="auto"/>
            <w:shd w:val="clear" w:color="auto" w:fill="FFFFFF"/>
          </w:tcPr>
          <w:p w:rsidR="006455A5" w:rsidRPr="000F1A66" w:rsidRDefault="006455A5" w:rsidP="00E30C14">
            <w:pPr>
              <w:rPr>
                <w:rFonts w:ascii="Palatino Linotype" w:hAnsi="Palatino Linotype" w:cs="Arial"/>
                <w:sz w:val="20"/>
                <w:szCs w:val="20"/>
              </w:rPr>
            </w:pPr>
          </w:p>
        </w:tc>
        <w:tc>
          <w:tcPr>
            <w:tcW w:w="0" w:type="auto"/>
            <w:shd w:val="clear" w:color="auto" w:fill="FFFFFF"/>
          </w:tcPr>
          <w:p w:rsidR="006455A5" w:rsidRPr="000F1A66" w:rsidRDefault="006455A5" w:rsidP="00E30C14">
            <w:pPr>
              <w:rPr>
                <w:rFonts w:ascii="Palatino Linotype" w:hAnsi="Palatino Linotype" w:cs="Arial"/>
                <w:sz w:val="20"/>
                <w:szCs w:val="20"/>
              </w:rPr>
            </w:pPr>
          </w:p>
        </w:tc>
        <w:tc>
          <w:tcPr>
            <w:tcW w:w="0" w:type="auto"/>
            <w:shd w:val="clear" w:color="auto" w:fill="FFFFFF"/>
          </w:tcPr>
          <w:p w:rsidR="006455A5" w:rsidRPr="000F1A66" w:rsidRDefault="006455A5" w:rsidP="00E30C14">
            <w:pPr>
              <w:rPr>
                <w:rFonts w:ascii="Palatino Linotype" w:hAnsi="Palatino Linotype" w:cs="Arial"/>
                <w:sz w:val="20"/>
                <w:szCs w:val="20"/>
              </w:rPr>
            </w:pPr>
          </w:p>
        </w:tc>
        <w:tc>
          <w:tcPr>
            <w:tcW w:w="0" w:type="auto"/>
            <w:shd w:val="clear" w:color="auto" w:fill="auto"/>
          </w:tcPr>
          <w:p w:rsidR="006455A5" w:rsidRPr="000F1A66" w:rsidRDefault="006455A5" w:rsidP="00E30C14">
            <w:pPr>
              <w:rPr>
                <w:rFonts w:ascii="Palatino Linotype" w:hAnsi="Palatino Linotype" w:cs="Arial"/>
                <w:sz w:val="20"/>
                <w:szCs w:val="20"/>
              </w:rPr>
            </w:pPr>
          </w:p>
        </w:tc>
        <w:tc>
          <w:tcPr>
            <w:tcW w:w="3774" w:type="dxa"/>
            <w:shd w:val="clear" w:color="auto" w:fill="FFFFFF"/>
          </w:tcPr>
          <w:p w:rsidR="006455A5" w:rsidRPr="000F1A66" w:rsidRDefault="006455A5" w:rsidP="00E30C14">
            <w:pPr>
              <w:rPr>
                <w:rFonts w:ascii="Palatino Linotype" w:hAnsi="Palatino Linotype" w:cs="Arial"/>
                <w:sz w:val="20"/>
                <w:szCs w:val="20"/>
              </w:rPr>
            </w:pPr>
          </w:p>
        </w:tc>
        <w:tc>
          <w:tcPr>
            <w:tcW w:w="2236" w:type="dxa"/>
            <w:shd w:val="clear" w:color="auto" w:fill="FFFFFF"/>
          </w:tcPr>
          <w:p w:rsidR="006455A5" w:rsidRPr="000F1A66" w:rsidRDefault="006455A5" w:rsidP="00E30C14">
            <w:pPr>
              <w:rPr>
                <w:rFonts w:ascii="Palatino Linotype" w:hAnsi="Palatino Linotype" w:cs="Arial"/>
                <w:sz w:val="20"/>
                <w:szCs w:val="20"/>
              </w:rPr>
            </w:pPr>
          </w:p>
        </w:tc>
        <w:tc>
          <w:tcPr>
            <w:tcW w:w="3936" w:type="dxa"/>
            <w:gridSpan w:val="2"/>
            <w:shd w:val="clear" w:color="auto" w:fill="FFFFFF"/>
          </w:tcPr>
          <w:p w:rsidR="006455A5" w:rsidRPr="000F1A66" w:rsidRDefault="006455A5" w:rsidP="00E30C14">
            <w:pPr>
              <w:rPr>
                <w:rFonts w:ascii="Palatino Linotype" w:hAnsi="Palatino Linotype" w:cs="Arial"/>
                <w:sz w:val="20"/>
                <w:szCs w:val="20"/>
              </w:rPr>
            </w:pPr>
          </w:p>
        </w:tc>
      </w:tr>
      <w:tr w:rsidR="006455A5" w:rsidRPr="000F1A66" w:rsidTr="00E30C14">
        <w:tc>
          <w:tcPr>
            <w:tcW w:w="0" w:type="auto"/>
            <w:shd w:val="clear" w:color="auto" w:fill="FFFFFF"/>
          </w:tcPr>
          <w:p w:rsidR="006455A5" w:rsidRPr="000F1A66" w:rsidRDefault="006455A5" w:rsidP="00E30C14">
            <w:pPr>
              <w:rPr>
                <w:rFonts w:ascii="Palatino Linotype" w:hAnsi="Palatino Linotype" w:cs="Arial"/>
                <w:sz w:val="20"/>
                <w:szCs w:val="20"/>
              </w:rPr>
            </w:pPr>
          </w:p>
        </w:tc>
        <w:tc>
          <w:tcPr>
            <w:tcW w:w="0" w:type="auto"/>
            <w:shd w:val="clear" w:color="auto" w:fill="FFFFFF"/>
          </w:tcPr>
          <w:p w:rsidR="006455A5" w:rsidRPr="000F1A66" w:rsidRDefault="006455A5" w:rsidP="00E30C14">
            <w:pPr>
              <w:rPr>
                <w:rFonts w:ascii="Palatino Linotype" w:hAnsi="Palatino Linotype" w:cs="Arial"/>
                <w:sz w:val="20"/>
                <w:szCs w:val="20"/>
              </w:rPr>
            </w:pPr>
          </w:p>
        </w:tc>
        <w:tc>
          <w:tcPr>
            <w:tcW w:w="0" w:type="auto"/>
            <w:shd w:val="clear" w:color="auto" w:fill="FFFFFF"/>
          </w:tcPr>
          <w:p w:rsidR="006455A5" w:rsidRPr="000F1A66" w:rsidRDefault="006455A5" w:rsidP="00E30C14">
            <w:pPr>
              <w:rPr>
                <w:rFonts w:ascii="Palatino Linotype" w:hAnsi="Palatino Linotype" w:cs="Arial"/>
                <w:sz w:val="20"/>
                <w:szCs w:val="20"/>
              </w:rPr>
            </w:pPr>
          </w:p>
        </w:tc>
        <w:tc>
          <w:tcPr>
            <w:tcW w:w="0" w:type="auto"/>
            <w:shd w:val="clear" w:color="auto" w:fill="auto"/>
          </w:tcPr>
          <w:p w:rsidR="006455A5" w:rsidRPr="000F1A66" w:rsidRDefault="006455A5" w:rsidP="00E30C14">
            <w:pPr>
              <w:rPr>
                <w:rFonts w:ascii="Palatino Linotype" w:hAnsi="Palatino Linotype" w:cs="Arial"/>
                <w:sz w:val="20"/>
                <w:szCs w:val="20"/>
              </w:rPr>
            </w:pPr>
          </w:p>
        </w:tc>
        <w:tc>
          <w:tcPr>
            <w:tcW w:w="3774" w:type="dxa"/>
            <w:shd w:val="clear" w:color="auto" w:fill="FFFFFF"/>
          </w:tcPr>
          <w:p w:rsidR="006455A5" w:rsidRPr="000F1A66" w:rsidRDefault="006455A5" w:rsidP="00E30C14">
            <w:pPr>
              <w:rPr>
                <w:rFonts w:ascii="Palatino Linotype" w:hAnsi="Palatino Linotype" w:cs="Arial"/>
                <w:sz w:val="20"/>
                <w:szCs w:val="20"/>
              </w:rPr>
            </w:pPr>
          </w:p>
        </w:tc>
        <w:tc>
          <w:tcPr>
            <w:tcW w:w="2236" w:type="dxa"/>
            <w:shd w:val="clear" w:color="auto" w:fill="FFFFFF"/>
          </w:tcPr>
          <w:p w:rsidR="006455A5" w:rsidRPr="000F1A66" w:rsidRDefault="006455A5" w:rsidP="00E30C14">
            <w:pPr>
              <w:rPr>
                <w:rFonts w:ascii="Palatino Linotype" w:hAnsi="Palatino Linotype" w:cs="Arial"/>
                <w:sz w:val="20"/>
                <w:szCs w:val="20"/>
              </w:rPr>
            </w:pPr>
          </w:p>
        </w:tc>
        <w:tc>
          <w:tcPr>
            <w:tcW w:w="3936" w:type="dxa"/>
            <w:gridSpan w:val="2"/>
            <w:shd w:val="clear" w:color="auto" w:fill="FFFFFF"/>
          </w:tcPr>
          <w:p w:rsidR="006455A5" w:rsidRPr="000F1A66" w:rsidRDefault="006455A5" w:rsidP="00E30C14">
            <w:pPr>
              <w:rPr>
                <w:rFonts w:ascii="Palatino Linotype" w:hAnsi="Palatino Linotype" w:cs="Arial"/>
                <w:sz w:val="20"/>
                <w:szCs w:val="20"/>
              </w:rPr>
            </w:pPr>
          </w:p>
        </w:tc>
      </w:tr>
    </w:tbl>
    <w:p w:rsidR="006455A5" w:rsidRPr="000F1A66" w:rsidRDefault="006455A5" w:rsidP="006455A5">
      <w:pPr>
        <w:spacing w:line="100" w:lineRule="atLeast"/>
        <w:ind w:left="11896"/>
        <w:rPr>
          <w:rFonts w:ascii="Palatino Linotype" w:hAnsi="Palatino Linotype" w:cs="Palatino Linotype"/>
          <w:b/>
        </w:rPr>
      </w:pPr>
    </w:p>
    <w:p w:rsidR="00911CC3" w:rsidRPr="00911CC3" w:rsidRDefault="00911CC3" w:rsidP="00911CC3">
      <w:pPr>
        <w:spacing w:before="120"/>
        <w:jc w:val="center"/>
        <w:rPr>
          <w:b/>
        </w:rPr>
      </w:pPr>
      <w:r w:rsidRPr="00911CC3">
        <w:rPr>
          <w:b/>
        </w:rPr>
        <w:t xml:space="preserve">UPUTE </w:t>
      </w:r>
    </w:p>
    <w:p w:rsidR="00911CC3" w:rsidRPr="00911CC3" w:rsidRDefault="00911CC3" w:rsidP="00911CC3">
      <w:pPr>
        <w:spacing w:before="120"/>
        <w:jc w:val="center"/>
        <w:rPr>
          <w:b/>
        </w:rPr>
      </w:pPr>
      <w:r w:rsidRPr="00911CC3">
        <w:rPr>
          <w:b/>
        </w:rPr>
        <w:t xml:space="preserve">ZA </w:t>
      </w:r>
      <w:r w:rsidRPr="00911CC3">
        <w:rPr>
          <w:rFonts w:eastAsia="Calibri"/>
          <w:b/>
        </w:rPr>
        <w:t>POPUNJAVANJE</w:t>
      </w:r>
      <w:r w:rsidRPr="00911CC3">
        <w:rPr>
          <w:b/>
        </w:rPr>
        <w:t xml:space="preserve"> OČEVIDNIKA O NASTANKU I TIJEKU OTPADA</w:t>
      </w:r>
    </w:p>
    <w:p w:rsidR="00911CC3" w:rsidRPr="00911CC3" w:rsidRDefault="00911CC3" w:rsidP="00911CC3">
      <w:pPr>
        <w:spacing w:before="120"/>
        <w:jc w:val="center"/>
        <w:rPr>
          <w:b/>
          <w:sz w:val="16"/>
          <w:szCs w:val="16"/>
        </w:rPr>
      </w:pPr>
    </w:p>
    <w:p w:rsidR="00911CC3" w:rsidRPr="00911CC3" w:rsidRDefault="00911CC3" w:rsidP="00911CC3">
      <w:pPr>
        <w:spacing w:before="120"/>
        <w:jc w:val="both"/>
      </w:pPr>
      <w:r w:rsidRPr="00911CC3">
        <w:rPr>
          <w:b/>
        </w:rPr>
        <w:t>Tvrtka</w:t>
      </w:r>
      <w:r w:rsidRPr="00911CC3">
        <w:rPr>
          <w:i/>
        </w:rPr>
        <w:t xml:space="preserve"> </w:t>
      </w:r>
      <w:r w:rsidRPr="00911CC3">
        <w:t>- upisuje se skraćeni naziv pravne osobe odnosno obrta koji vodi očevidnik.</w:t>
      </w:r>
    </w:p>
    <w:p w:rsidR="00911CC3" w:rsidRPr="00911CC3" w:rsidRDefault="00911CC3" w:rsidP="00911CC3">
      <w:pPr>
        <w:spacing w:before="120"/>
        <w:jc w:val="both"/>
      </w:pPr>
      <w:r w:rsidRPr="00911CC3">
        <w:rPr>
          <w:b/>
        </w:rPr>
        <w:t>Sjedište</w:t>
      </w:r>
      <w:r w:rsidRPr="00911CC3">
        <w:t xml:space="preserve"> - upisuje se adresa sjedišta sukladno podatku u sudskom registru, obrtnom registru odnosno drugom registru sukladno posebnom propisu.</w:t>
      </w:r>
    </w:p>
    <w:p w:rsidR="00911CC3" w:rsidRPr="00911CC3" w:rsidRDefault="00911CC3" w:rsidP="00911CC3">
      <w:pPr>
        <w:spacing w:before="120"/>
        <w:jc w:val="both"/>
      </w:pPr>
      <w:r w:rsidRPr="00911CC3">
        <w:rPr>
          <w:b/>
        </w:rPr>
        <w:t>Odgovorna osoba</w:t>
      </w:r>
      <w:r w:rsidRPr="00911CC3">
        <w:t xml:space="preserve"> - upisuje se ime i prezime osobe ovlaštene za zastupanje pravne osobe ili fizičke osobe - obrtnika.</w:t>
      </w:r>
    </w:p>
    <w:p w:rsidR="00911CC3" w:rsidRPr="00911CC3" w:rsidRDefault="00911CC3" w:rsidP="00911CC3">
      <w:pPr>
        <w:spacing w:before="120"/>
        <w:jc w:val="both"/>
      </w:pPr>
      <w:r w:rsidRPr="00911CC3">
        <w:rPr>
          <w:b/>
        </w:rPr>
        <w:t>Lokacija</w:t>
      </w:r>
      <w:r w:rsidRPr="00911CC3">
        <w:rPr>
          <w:i/>
        </w:rPr>
        <w:t xml:space="preserve"> </w:t>
      </w:r>
      <w:r w:rsidRPr="00911CC3">
        <w:t>-</w:t>
      </w:r>
      <w:r w:rsidRPr="00911CC3">
        <w:rPr>
          <w:i/>
        </w:rPr>
        <w:t xml:space="preserve"> </w:t>
      </w:r>
      <w:r w:rsidRPr="00911CC3">
        <w:t>upisuje se adresa lokacije gospodarenja otpadom odnosno organizacijske jedinice za koju se vodi Očevidnik o nastanku i tijeku otpada. Kad lokacija/organizacijska jedinica nema dodijeljenu adresu, upisuju se odgovarajući podaci o katastarskoj općini i katastarskoj čestici.</w:t>
      </w:r>
    </w:p>
    <w:p w:rsidR="00911CC3" w:rsidRPr="00911CC3" w:rsidRDefault="00911CC3" w:rsidP="00911CC3">
      <w:pPr>
        <w:spacing w:before="120"/>
        <w:jc w:val="both"/>
      </w:pPr>
      <w:r w:rsidRPr="00911CC3">
        <w:rPr>
          <w:b/>
        </w:rPr>
        <w:t>Ključni broj otpada</w:t>
      </w:r>
      <w:r w:rsidRPr="00911CC3">
        <w:t xml:space="preserve"> - upisuje se odgovarajući ključni broj otpada sukladno posebnom propisu koji uređuje Katalog otpada;</w:t>
      </w:r>
    </w:p>
    <w:p w:rsidR="00911CC3" w:rsidRPr="00911CC3" w:rsidRDefault="00911CC3" w:rsidP="00911CC3">
      <w:pPr>
        <w:spacing w:before="120"/>
        <w:jc w:val="both"/>
      </w:pPr>
      <w:r w:rsidRPr="00911CC3">
        <w:rPr>
          <w:b/>
        </w:rPr>
        <w:t>Godina</w:t>
      </w:r>
      <w:r w:rsidRPr="00911CC3">
        <w:t xml:space="preserve"> - upisuje se odgovarajuća kalendarska godina za koju se vodi Očevidnik o nastanku i tijeku otpada.</w:t>
      </w:r>
    </w:p>
    <w:p w:rsidR="00911CC3" w:rsidRPr="00911CC3" w:rsidRDefault="00911CC3" w:rsidP="00911CC3">
      <w:pPr>
        <w:spacing w:before="120"/>
        <w:jc w:val="both"/>
      </w:pPr>
      <w:r w:rsidRPr="00911CC3">
        <w:rPr>
          <w:b/>
        </w:rPr>
        <w:t>Datum otvaranja</w:t>
      </w:r>
      <w:r w:rsidRPr="00911CC3">
        <w:t xml:space="preserve"> - upisuje se datum od kada se vodi Očevidnik o nastanku i tijeku otpada.</w:t>
      </w:r>
    </w:p>
    <w:p w:rsidR="00911CC3" w:rsidRPr="00911CC3" w:rsidRDefault="00911CC3" w:rsidP="00911CC3">
      <w:pPr>
        <w:spacing w:before="120"/>
        <w:jc w:val="both"/>
      </w:pPr>
      <w:r w:rsidRPr="00911CC3">
        <w:rPr>
          <w:b/>
        </w:rPr>
        <w:t>Datum zatvaranja</w:t>
      </w:r>
      <w:r w:rsidRPr="00911CC3">
        <w:t xml:space="preserve"> - upisuje se datum kad se prestao voditi Očevidnik o nastanku i tijeku otpada.</w:t>
      </w:r>
    </w:p>
    <w:p w:rsidR="00911CC3" w:rsidRPr="00911CC3" w:rsidRDefault="00911CC3" w:rsidP="00911CC3">
      <w:pPr>
        <w:spacing w:before="120"/>
        <w:jc w:val="both"/>
        <w:rPr>
          <w:b/>
        </w:rPr>
      </w:pPr>
      <w:r w:rsidRPr="00911CC3">
        <w:rPr>
          <w:b/>
        </w:rPr>
        <w:t>PODACI O TIJEKU OTPADA</w:t>
      </w:r>
    </w:p>
    <w:p w:rsidR="00911CC3" w:rsidRPr="00911CC3" w:rsidRDefault="00911CC3" w:rsidP="00911CC3">
      <w:pPr>
        <w:spacing w:before="120"/>
        <w:jc w:val="both"/>
      </w:pPr>
      <w:r w:rsidRPr="00911CC3">
        <w:t>U obrascu ONTO ažurno se upisuju sve promjene količina otpada vrste otpada za koju se vodi taj očevidnik.</w:t>
      </w:r>
    </w:p>
    <w:p w:rsidR="00911CC3" w:rsidRPr="00911CC3" w:rsidRDefault="00911CC3" w:rsidP="00911CC3">
      <w:pPr>
        <w:spacing w:before="120"/>
        <w:jc w:val="both"/>
      </w:pPr>
      <w:r w:rsidRPr="00911CC3">
        <w:lastRenderedPageBreak/>
        <w:t xml:space="preserve">U stupac </w:t>
      </w:r>
      <w:r w:rsidRPr="00911CC3">
        <w:rPr>
          <w:b/>
        </w:rPr>
        <w:t>Br.</w:t>
      </w:r>
      <w:r w:rsidRPr="00911CC3">
        <w:t xml:space="preserve"> upisuje se redni broj promjene stanja.</w:t>
      </w:r>
    </w:p>
    <w:p w:rsidR="00911CC3" w:rsidRPr="00911CC3" w:rsidRDefault="00911CC3" w:rsidP="00911CC3">
      <w:pPr>
        <w:spacing w:before="120"/>
        <w:jc w:val="both"/>
      </w:pPr>
      <w:r w:rsidRPr="00911CC3">
        <w:t xml:space="preserve">U stupac </w:t>
      </w:r>
      <w:r w:rsidRPr="00911CC3">
        <w:rPr>
          <w:b/>
        </w:rPr>
        <w:t>Datum</w:t>
      </w:r>
      <w:r w:rsidRPr="00911CC3">
        <w:t xml:space="preserve"> upisuje se datum promjene stanja.</w:t>
      </w:r>
    </w:p>
    <w:p w:rsidR="00911CC3" w:rsidRPr="00911CC3" w:rsidRDefault="00911CC3" w:rsidP="00911CC3">
      <w:pPr>
        <w:spacing w:before="120"/>
        <w:jc w:val="both"/>
      </w:pPr>
      <w:r w:rsidRPr="00911CC3">
        <w:t xml:space="preserve">U stupac </w:t>
      </w:r>
      <w:r w:rsidRPr="00911CC3">
        <w:rPr>
          <w:b/>
        </w:rPr>
        <w:t>Ulaz (kg)</w:t>
      </w:r>
      <w:r w:rsidRPr="00911CC3">
        <w:t xml:space="preserve"> upisuje se masa otpada koja je nastala na lokaciji odnosno koja je unesena/zaprimljena na lokaciji za koju se vodi Očevidnik o nastanku i tijeku otpada. U stupac </w:t>
      </w:r>
      <w:r w:rsidRPr="00911CC3">
        <w:rPr>
          <w:b/>
        </w:rPr>
        <w:t>Izlaz (kg)</w:t>
      </w:r>
      <w:r w:rsidRPr="00911CC3">
        <w:t xml:space="preserve"> upisuje se masa otpada koja je obrađena odnosno koja je predana/iznesena sa lokacije za koju se vodi Očevidnik o nastanku i tijeku otpada. U pojedinom retku upisuje se samo u jedan odgovarajući stupac </w:t>
      </w:r>
      <w:r w:rsidRPr="00911CC3">
        <w:rPr>
          <w:i/>
        </w:rPr>
        <w:t>Ulaz</w:t>
      </w:r>
      <w:r w:rsidRPr="00911CC3">
        <w:t xml:space="preserve"> </w:t>
      </w:r>
      <w:r w:rsidRPr="00911CC3">
        <w:rPr>
          <w:i/>
        </w:rPr>
        <w:t xml:space="preserve">(kg) </w:t>
      </w:r>
      <w:r w:rsidRPr="00911CC3">
        <w:t xml:space="preserve">ili </w:t>
      </w:r>
      <w:r w:rsidRPr="00911CC3">
        <w:rPr>
          <w:i/>
        </w:rPr>
        <w:t>Izlaz (kg).</w:t>
      </w:r>
    </w:p>
    <w:p w:rsidR="00911CC3" w:rsidRPr="00911CC3" w:rsidRDefault="00911CC3" w:rsidP="00911CC3">
      <w:pPr>
        <w:spacing w:before="120"/>
        <w:jc w:val="both"/>
      </w:pPr>
      <w:r w:rsidRPr="00911CC3">
        <w:t xml:space="preserve">U stupac </w:t>
      </w:r>
      <w:r w:rsidRPr="00911CC3">
        <w:rPr>
          <w:b/>
        </w:rPr>
        <w:t>Način</w:t>
      </w:r>
      <w:r w:rsidRPr="00911CC3">
        <w:t xml:space="preserve"> upisuje se sljedeća oznaka:</w:t>
      </w:r>
    </w:p>
    <w:p w:rsidR="00911CC3" w:rsidRPr="00911CC3" w:rsidRDefault="00911CC3" w:rsidP="00911CC3">
      <w:pPr>
        <w:spacing w:before="120"/>
        <w:jc w:val="both"/>
      </w:pPr>
      <w:r w:rsidRPr="00911CC3">
        <w:t xml:space="preserve">Kad na lokaciji za koju se vodi Očevidnik o nastanku i tijeku otpada </w:t>
      </w:r>
      <w:r w:rsidRPr="00911CC3">
        <w:rPr>
          <w:b/>
          <w:i/>
        </w:rPr>
        <w:t>nastaje otpad</w:t>
      </w:r>
      <w:r w:rsidRPr="00911CC3">
        <w:t xml:space="preserve"> upisuje se:</w:t>
      </w:r>
    </w:p>
    <w:p w:rsidR="00911CC3" w:rsidRPr="00911CC3" w:rsidRDefault="00911CC3" w:rsidP="00911CC3">
      <w:pPr>
        <w:spacing w:before="120"/>
        <w:ind w:left="851" w:hanging="567"/>
        <w:jc w:val="both"/>
      </w:pPr>
      <w:r w:rsidRPr="00911CC3">
        <w:rPr>
          <w:b/>
        </w:rPr>
        <w:t>UVL</w:t>
      </w:r>
      <w:r w:rsidRPr="00911CC3">
        <w:t xml:space="preserve"> - kad proizvođač otpada proglasi određenu tvar ili predmet otpadom na lokaciji za koju vodi Očevidnik o nastanku i tijeku otpada;</w:t>
      </w:r>
    </w:p>
    <w:p w:rsidR="00911CC3" w:rsidRPr="00911CC3" w:rsidRDefault="00911CC3" w:rsidP="00911CC3">
      <w:pPr>
        <w:tabs>
          <w:tab w:val="left" w:pos="1843"/>
        </w:tabs>
        <w:spacing w:before="120"/>
        <w:ind w:left="851" w:hanging="567"/>
        <w:jc w:val="both"/>
      </w:pPr>
      <w:r w:rsidRPr="00911CC3">
        <w:rPr>
          <w:b/>
        </w:rPr>
        <w:t xml:space="preserve">UO-Oznaka-KB </w:t>
      </w:r>
      <w:r w:rsidRPr="00911CC3">
        <w:t>- kad je otpad nastao nekim postupkom obrade na lokaciji za koju se vodi Očevidnik o nastanku i tijeku otpada, pri čemu se na mjestu Oznaka unosi odgovarajuća oznaka (PU-priprema za ponovnu uporabu, PP - priprema prije oporabe ili zbrinjavanja, „R broj“ ili „D broj“ sukladno Dodatku I ovoga Pravilnika). Na mjestu KB unosi se ključni broj otpada od kojeg potječe obradom nastali otpad, sukladno Elaboratu koji je sastavni dio dozvole za gospodarenje otpadom.</w:t>
      </w:r>
    </w:p>
    <w:p w:rsidR="00911CC3" w:rsidRPr="00911CC3" w:rsidRDefault="00911CC3" w:rsidP="00911CC3">
      <w:pPr>
        <w:spacing w:before="120"/>
        <w:ind w:left="284"/>
        <w:jc w:val="both"/>
      </w:pPr>
      <w:r w:rsidRPr="00911CC3">
        <w:t xml:space="preserve">Kad se na lokaciju za koju se vodi Očevidnik o nastanku i tijeku otada </w:t>
      </w:r>
      <w:r w:rsidRPr="00911CC3">
        <w:rPr>
          <w:b/>
          <w:i/>
        </w:rPr>
        <w:t xml:space="preserve">zaprima ili unosi pošiljka otpada </w:t>
      </w:r>
      <w:r w:rsidRPr="00911CC3">
        <w:t>upisuje se:</w:t>
      </w:r>
    </w:p>
    <w:p w:rsidR="00911CC3" w:rsidRPr="00911CC3" w:rsidRDefault="00911CC3" w:rsidP="00911CC3">
      <w:pPr>
        <w:spacing w:before="120"/>
        <w:ind w:left="851" w:hanging="567"/>
        <w:jc w:val="both"/>
      </w:pPr>
      <w:r w:rsidRPr="00911CC3">
        <w:rPr>
          <w:b/>
        </w:rPr>
        <w:t>UP-Broj Pratećeg lista</w:t>
      </w:r>
      <w:r w:rsidRPr="00911CC3">
        <w:t xml:space="preserve"> - kad je otpad zaprimljen od druge osobe. </w:t>
      </w:r>
      <w:r w:rsidRPr="00911CC3">
        <w:rPr>
          <w:rFonts w:eastAsia="Calibri"/>
        </w:rPr>
        <w:t xml:space="preserve">Kad se preuzme pošiljka otpada za koju osoba koja predaje otpad u odgovarajući Prateći list za otpad nije upisala broj PL-O ili kad upisani broj PL-O očigledno nije u skladu s Uputama za popunjavanje pratećeg lista za otpad, osoba koja preuzima otpad u vlastiti ONTO unosi „UP-oznaka“, pri čemu oznaka sadrži sljedeće: </w:t>
      </w:r>
      <w:r w:rsidRPr="00911CC3">
        <w:t>ključni broj otpada (bez oznake *), OIB osobe koja predaje otpad (u slučaju obrta upisuje se MBO obrta) te „999ZZZ-redni_broj“ (primjer: 111111-11111111111_999ZZZ -1), pri čemu „</w:t>
      </w:r>
      <w:proofErr w:type="spellStart"/>
      <w:r w:rsidRPr="00911CC3">
        <w:t>redni_broj</w:t>
      </w:r>
      <w:proofErr w:type="spellEnd"/>
      <w:r w:rsidRPr="00911CC3">
        <w:t>“ označava redni broj takve pošiljke (neovisno o OIB-u)  zaprimljene u kalendarskoj godini.;</w:t>
      </w:r>
    </w:p>
    <w:p w:rsidR="00911CC3" w:rsidRPr="00911CC3" w:rsidRDefault="00911CC3" w:rsidP="00911CC3">
      <w:pPr>
        <w:spacing w:before="120"/>
        <w:ind w:left="851" w:hanging="567"/>
        <w:jc w:val="both"/>
      </w:pPr>
      <w:r w:rsidRPr="00911CC3">
        <w:rPr>
          <w:b/>
        </w:rPr>
        <w:t xml:space="preserve">UT-Redni broj </w:t>
      </w:r>
      <w:r w:rsidRPr="00911CC3">
        <w:rPr>
          <w:rFonts w:eastAsia="Calibri"/>
          <w:b/>
        </w:rPr>
        <w:t>Izjave o vlasništvu otpada</w:t>
      </w:r>
      <w:r w:rsidRPr="00911CC3" w:rsidDel="007E5A14">
        <w:t xml:space="preserve"> </w:t>
      </w:r>
      <w:r w:rsidRPr="00911CC3">
        <w:t xml:space="preserve">- kad je otpad otkupljen trgovinom na malo unosi se redni broj odgovarajuće </w:t>
      </w:r>
      <w:r w:rsidRPr="00911CC3">
        <w:rPr>
          <w:rFonts w:eastAsia="Calibri"/>
        </w:rPr>
        <w:t>Izjave o vlasništvu otpada</w:t>
      </w:r>
      <w:r w:rsidRPr="00911CC3">
        <w:t xml:space="preserve"> propisane obrascem iz Dodatka II ovoga Pravilnika;</w:t>
      </w:r>
    </w:p>
    <w:p w:rsidR="00911CC3" w:rsidRPr="00911CC3" w:rsidRDefault="00911CC3" w:rsidP="00911CC3">
      <w:pPr>
        <w:spacing w:before="120"/>
        <w:ind w:left="851" w:hanging="567"/>
        <w:jc w:val="both"/>
        <w:rPr>
          <w:rFonts w:eastAsia="Calibri"/>
        </w:rPr>
      </w:pPr>
      <w:r w:rsidRPr="00911CC3">
        <w:rPr>
          <w:rFonts w:eastAsia="Calibri"/>
          <w:b/>
        </w:rPr>
        <w:t>UZ-Država-Podatak</w:t>
      </w:r>
      <w:r w:rsidRPr="00911CC3">
        <w:rPr>
          <w:rFonts w:eastAsia="Calibri"/>
        </w:rPr>
        <w:t xml:space="preserve"> – kad se zaprima pošiljka otpada koji potječe s područja izvan teritorija Republike Hrvatske, pri čemu se na mjesto „Država“ upisuje se dvoslovni kod za državu određen normom ISO 3166 iz koje potječe pošiljka otpada, na mjesto „Podatak“ upisuje se za slučaj otpada koji podliježe </w:t>
      </w:r>
      <w:proofErr w:type="spellStart"/>
      <w:r w:rsidRPr="00911CC3">
        <w:rPr>
          <w:rFonts w:eastAsia="Calibri"/>
        </w:rPr>
        <w:t>notifikacijskom</w:t>
      </w:r>
      <w:proofErr w:type="spellEnd"/>
      <w:r w:rsidRPr="00911CC3">
        <w:rPr>
          <w:rFonts w:eastAsia="Calibri"/>
        </w:rPr>
        <w:t xml:space="preserve"> postupku </w:t>
      </w:r>
      <w:proofErr w:type="spellStart"/>
      <w:r w:rsidRPr="00911CC3">
        <w:rPr>
          <w:rFonts w:eastAsia="Calibri"/>
        </w:rPr>
        <w:t>Notifikacijski</w:t>
      </w:r>
      <w:proofErr w:type="spellEnd"/>
      <w:r w:rsidRPr="00911CC3">
        <w:rPr>
          <w:rFonts w:eastAsia="Calibri"/>
        </w:rPr>
        <w:t xml:space="preserve"> broj/redni broj pošiljke sukladno odgovarajućem dokumentu o prometu, a za otpad koji ne podliježe </w:t>
      </w:r>
      <w:proofErr w:type="spellStart"/>
      <w:r w:rsidRPr="00911CC3">
        <w:rPr>
          <w:rFonts w:eastAsia="Calibri"/>
        </w:rPr>
        <w:t>notifikacijskom</w:t>
      </w:r>
      <w:proofErr w:type="spellEnd"/>
      <w:r w:rsidRPr="00911CC3">
        <w:rPr>
          <w:rFonts w:eastAsia="Calibri"/>
        </w:rPr>
        <w:t xml:space="preserve"> postupku upisuje se naziv osobe koja organizira otpremu sukladno podacima iz točke 1. obrasca iz Priloga VII Uredbe (EZ-a) br. 1013/2006;</w:t>
      </w:r>
    </w:p>
    <w:p w:rsidR="00911CC3" w:rsidRPr="00911CC3" w:rsidRDefault="00911CC3" w:rsidP="00911CC3">
      <w:pPr>
        <w:spacing w:before="120"/>
        <w:ind w:left="851" w:hanging="567"/>
        <w:jc w:val="both"/>
      </w:pPr>
      <w:r w:rsidRPr="00911CC3">
        <w:rPr>
          <w:b/>
        </w:rPr>
        <w:t>UVP</w:t>
      </w:r>
      <w:r w:rsidRPr="00911CC3">
        <w:t xml:space="preserve"> - kad je pošiljka otpada dopremljena na lokaciju prijevozom za vlastite potrebe (prijevoz pošiljke otpada sa jedne na drugu lokaciju kojima raspolaže ista osoba);</w:t>
      </w:r>
    </w:p>
    <w:p w:rsidR="00911CC3" w:rsidRPr="00911CC3" w:rsidRDefault="00911CC3" w:rsidP="00911CC3">
      <w:pPr>
        <w:spacing w:before="120"/>
        <w:ind w:left="851" w:hanging="567"/>
        <w:jc w:val="both"/>
      </w:pPr>
      <w:r w:rsidRPr="00911CC3">
        <w:rPr>
          <w:b/>
        </w:rPr>
        <w:lastRenderedPageBreak/>
        <w:t>UIS</w:t>
      </w:r>
      <w:r w:rsidRPr="00911CC3">
        <w:t xml:space="preserve"> - kad je otpad zaprimljen postupkom interventnog sakupljanja;</w:t>
      </w:r>
    </w:p>
    <w:p w:rsidR="00911CC3" w:rsidRPr="00911CC3" w:rsidRDefault="00911CC3" w:rsidP="00911CC3">
      <w:pPr>
        <w:spacing w:before="120"/>
        <w:ind w:left="851" w:hanging="567"/>
        <w:jc w:val="both"/>
      </w:pPr>
      <w:r w:rsidRPr="00911CC3">
        <w:rPr>
          <w:b/>
        </w:rPr>
        <w:t xml:space="preserve">UPK </w:t>
      </w:r>
      <w:r w:rsidRPr="00911CC3">
        <w:t>- upisuje pravna osoba ili fizička osoba - obrtnik kad preuzme otpad, koji se smatra posebnom kategorijom otpada, od prodavatelja proizvoda kojem je posebnim propisom koji uređuje gospodarenje posebnom kategorijom otpada propisana obveza preuzimanja tog otpada od kupca, ili kad preuzme otpad od fizičke osobe (građanina), pri čemu je posebnim propisom koji uređuje posebnu kategoriju otpada propisano da se za taj slučaj ne ispunjava prateći list;</w:t>
      </w:r>
    </w:p>
    <w:p w:rsidR="00911CC3" w:rsidRPr="00911CC3" w:rsidRDefault="00911CC3" w:rsidP="00911CC3">
      <w:pPr>
        <w:spacing w:before="120"/>
        <w:ind w:left="851" w:hanging="567"/>
        <w:jc w:val="both"/>
      </w:pPr>
      <w:r w:rsidRPr="00911CC3">
        <w:rPr>
          <w:b/>
        </w:rPr>
        <w:t>UVM</w:t>
      </w:r>
      <w:r w:rsidRPr="00911CC3">
        <w:t xml:space="preserve"> - kad davatelj javne usluge prikupljanja miješanog komunalnog otpada odnosno biorazgradivog komunalnog otpada dostavi pošiljku otpada, kojeg je prikupio u sklopu te javne usluge, na lokaciju gospodarenja otpadom kojom sam upravlja;</w:t>
      </w:r>
    </w:p>
    <w:p w:rsidR="00911CC3" w:rsidRPr="00911CC3" w:rsidRDefault="00911CC3" w:rsidP="00911CC3">
      <w:pPr>
        <w:spacing w:before="120"/>
        <w:ind w:left="851" w:hanging="567"/>
        <w:jc w:val="both"/>
      </w:pPr>
      <w:r w:rsidRPr="00911CC3">
        <w:rPr>
          <w:b/>
        </w:rPr>
        <w:t>URD</w:t>
      </w:r>
      <w:r w:rsidRPr="00911CC3">
        <w:t xml:space="preserve"> - kad je otpad zaprimljen u </w:t>
      </w:r>
      <w:proofErr w:type="spellStart"/>
      <w:r w:rsidRPr="00911CC3">
        <w:t>reciklažno</w:t>
      </w:r>
      <w:proofErr w:type="spellEnd"/>
      <w:r w:rsidRPr="00911CC3">
        <w:t xml:space="preserve"> dvorište (građevina) </w:t>
      </w:r>
      <w:r w:rsidRPr="00911CC3">
        <w:rPr>
          <w:rFonts w:eastAsia="Calibri"/>
        </w:rPr>
        <w:t xml:space="preserve">od fizičke osobe (građanin), a kad je otpad zaprimljen u </w:t>
      </w:r>
      <w:proofErr w:type="spellStart"/>
      <w:r w:rsidRPr="00911CC3">
        <w:rPr>
          <w:rFonts w:eastAsia="Calibri"/>
        </w:rPr>
        <w:t>reciklažno</w:t>
      </w:r>
      <w:proofErr w:type="spellEnd"/>
      <w:r w:rsidRPr="00911CC3">
        <w:rPr>
          <w:rFonts w:eastAsia="Calibri"/>
        </w:rPr>
        <w:t xml:space="preserve"> dvorište (građevina) od pravne osobe koristi se oznaka UP-Broj pratećeg lista</w:t>
      </w:r>
      <w:r w:rsidRPr="00911CC3">
        <w:t>;</w:t>
      </w:r>
    </w:p>
    <w:p w:rsidR="00911CC3" w:rsidRPr="00911CC3" w:rsidRDefault="00911CC3" w:rsidP="00911CC3">
      <w:pPr>
        <w:spacing w:before="120"/>
        <w:ind w:left="851" w:hanging="567"/>
        <w:jc w:val="both"/>
        <w:rPr>
          <w:rFonts w:eastAsia="Calibri"/>
        </w:rPr>
      </w:pPr>
      <w:r w:rsidRPr="00911CC3">
        <w:rPr>
          <w:rFonts w:eastAsia="Calibri"/>
          <w:b/>
        </w:rPr>
        <w:t>UJP</w:t>
      </w:r>
      <w:r w:rsidRPr="00911CC3">
        <w:rPr>
          <w:rFonts w:eastAsia="Calibri"/>
        </w:rPr>
        <w:t xml:space="preserve"> - kad je otpad prikupljen putem spremnika na javnoj površini ili ekvivalentnog spremnika kod korisnika javne usluge prikupljanja miješanog komunalnog otpada ili biorazgradivog komunalnog otpada;</w:t>
      </w:r>
    </w:p>
    <w:p w:rsidR="00911CC3" w:rsidRPr="00911CC3" w:rsidRDefault="00911CC3" w:rsidP="00911CC3">
      <w:pPr>
        <w:tabs>
          <w:tab w:val="left" w:pos="1843"/>
        </w:tabs>
        <w:spacing w:before="120"/>
        <w:ind w:left="851" w:hanging="567"/>
        <w:jc w:val="both"/>
      </w:pPr>
      <w:r w:rsidRPr="00911CC3">
        <w:rPr>
          <w:b/>
        </w:rPr>
        <w:t>UOD</w:t>
      </w:r>
      <w:r w:rsidRPr="00911CC3">
        <w:t xml:space="preserve"> - kad osoba koja upravlja odlagalištem privremeno skladišti pošiljku otpada koju, sukladno posebnom propisu koji uređuje odlaganje otpada, ne smije odložiti. </w:t>
      </w:r>
    </w:p>
    <w:p w:rsidR="00911CC3" w:rsidRPr="00911CC3" w:rsidRDefault="00911CC3" w:rsidP="00911CC3">
      <w:pPr>
        <w:spacing w:before="120"/>
        <w:jc w:val="both"/>
      </w:pPr>
      <w:r w:rsidRPr="00911CC3">
        <w:t>Kad se  na lokaciji za koju se vodi Očevidnik o nastanku i tijeku otpada</w:t>
      </w:r>
      <w:r w:rsidRPr="00911CC3" w:rsidDel="00D63991">
        <w:t xml:space="preserve"> </w:t>
      </w:r>
      <w:r w:rsidRPr="00911CC3">
        <w:t xml:space="preserve">obavlja </w:t>
      </w:r>
      <w:r w:rsidRPr="00911CC3">
        <w:rPr>
          <w:b/>
          <w:i/>
        </w:rPr>
        <w:t>obrada otpada</w:t>
      </w:r>
      <w:r w:rsidRPr="00911CC3">
        <w:t xml:space="preserve"> upisuje se:</w:t>
      </w:r>
    </w:p>
    <w:p w:rsidR="00911CC3" w:rsidRPr="00911CC3" w:rsidRDefault="00911CC3" w:rsidP="00911CC3">
      <w:pPr>
        <w:spacing w:before="120"/>
        <w:ind w:left="709" w:hanging="425"/>
        <w:jc w:val="both"/>
      </w:pPr>
      <w:r w:rsidRPr="00911CC3">
        <w:rPr>
          <w:b/>
        </w:rPr>
        <w:t>IO-Oznaka-KB</w:t>
      </w:r>
      <w:r w:rsidRPr="00911CC3">
        <w:t xml:space="preserve"> - kad je otpad obrađen nekim postupkom na lokaciji za koju se vodi ONTO  pri čemu se na mjesto Oznaka unosi odgovarajuća oznaka: PU-priprema za ponovnu uporabu, PP – priprema prije oporabe ili zbrinjavanja, „R broj“ ili „D broj“ sukladno Dodatku I ovoga Pravilnika. Na mjesto KB unosi se ključni broj otpada koji nastaje obradom, sukladno Elaboratu koji je sastavni dio dozvole za gospodarenje otpadom, a kad nastaje više vrsta otpada navode se svi odgovarajući ključni brojevi prema nastaloj masi počevši od ključnog broja najveće mase.</w:t>
      </w:r>
      <w:r w:rsidRPr="00911CC3">
        <w:rPr>
          <w:rFonts w:eastAsia="Calibri"/>
        </w:rPr>
        <w:t xml:space="preserve"> Iznimno kad se radi o obradi otpada postupkom R10, D1, D2, D3, D4, D5 ili D12 upisuje se samo oznaka bez nastalog ključnog broja (npr. IO-D1)</w:t>
      </w:r>
      <w:r w:rsidRPr="00911CC3">
        <w:t>;</w:t>
      </w:r>
    </w:p>
    <w:p w:rsidR="00911CC3" w:rsidRPr="00911CC3" w:rsidRDefault="00911CC3" w:rsidP="00911CC3">
      <w:pPr>
        <w:spacing w:before="120"/>
        <w:ind w:left="709" w:hanging="425"/>
        <w:jc w:val="both"/>
      </w:pPr>
      <w:r w:rsidRPr="00911CC3">
        <w:rPr>
          <w:b/>
        </w:rPr>
        <w:t>IU-redni broj upisa u Očevidnik ukidanja statusa otpada za odgovarajući proizvod</w:t>
      </w:r>
      <w:r w:rsidRPr="00911CC3">
        <w:t>- kad se radi o ukidanju statusa otpada (npr. IU-USO-286) sukladno posebnom propisu koji uređuje nusproizvode i ukidanje statusa otpada.</w:t>
      </w:r>
    </w:p>
    <w:p w:rsidR="00911CC3" w:rsidRPr="00911CC3" w:rsidRDefault="00911CC3" w:rsidP="00911CC3">
      <w:pPr>
        <w:spacing w:before="120"/>
        <w:ind w:left="284"/>
        <w:jc w:val="both"/>
      </w:pPr>
      <w:r w:rsidRPr="00911CC3">
        <w:t xml:space="preserve">Kad se sa lokacije za koju se vodi Očevidnik o nastanku i tijeku </w:t>
      </w:r>
      <w:r w:rsidRPr="00911CC3">
        <w:rPr>
          <w:b/>
          <w:i/>
        </w:rPr>
        <w:t>predaje ili iznosi pošiljka otpada</w:t>
      </w:r>
      <w:r w:rsidRPr="00911CC3">
        <w:t xml:space="preserve"> upisuje se:</w:t>
      </w:r>
    </w:p>
    <w:p w:rsidR="00911CC3" w:rsidRPr="00911CC3" w:rsidRDefault="00911CC3" w:rsidP="00911CC3">
      <w:pPr>
        <w:spacing w:before="120"/>
        <w:ind w:left="709" w:hanging="425"/>
        <w:jc w:val="both"/>
      </w:pPr>
      <w:r w:rsidRPr="00911CC3">
        <w:rPr>
          <w:b/>
        </w:rPr>
        <w:t>IP-Broj Pratećeg lista</w:t>
      </w:r>
      <w:r w:rsidRPr="00911CC3">
        <w:t xml:space="preserve"> - kad je otpad predan drugoj osobi (otpad je predan osobi ovlaštenoj za preuzimanje te vrste otpada);</w:t>
      </w:r>
    </w:p>
    <w:p w:rsidR="00911CC3" w:rsidRPr="00911CC3" w:rsidRDefault="00911CC3" w:rsidP="00911CC3">
      <w:pPr>
        <w:spacing w:before="120"/>
        <w:ind w:left="709" w:hanging="425"/>
        <w:jc w:val="both"/>
      </w:pPr>
      <w:r w:rsidRPr="00911CC3">
        <w:rPr>
          <w:b/>
        </w:rPr>
        <w:t>IZ-Država-Podatak</w:t>
      </w:r>
      <w:r w:rsidRPr="00911CC3">
        <w:t xml:space="preserve"> - u slučaju kad se pošiljka otpada predaje osobi izvan Republike Hrvatske, pri čemu se </w:t>
      </w:r>
      <w:r w:rsidRPr="00911CC3">
        <w:rPr>
          <w:rFonts w:eastAsia="Calibri"/>
        </w:rPr>
        <w:t xml:space="preserve">na mjesto „Država“ upisuje dvoslovni kod za državu, određen normom ISO 3166, u koju se šalje pošiljka otpada, </w:t>
      </w:r>
      <w:r w:rsidRPr="00911CC3">
        <w:t xml:space="preserve">na mjesto „Podatak“ za otpad koji podliježe </w:t>
      </w:r>
      <w:proofErr w:type="spellStart"/>
      <w:r w:rsidRPr="00911CC3">
        <w:t>notifikacijskom</w:t>
      </w:r>
      <w:proofErr w:type="spellEnd"/>
      <w:r w:rsidRPr="00911CC3">
        <w:t xml:space="preserve"> postupku upisuje se „</w:t>
      </w:r>
      <w:proofErr w:type="spellStart"/>
      <w:r w:rsidRPr="00911CC3">
        <w:t>Notifikacijski</w:t>
      </w:r>
      <w:proofErr w:type="spellEnd"/>
      <w:r w:rsidRPr="00911CC3">
        <w:t xml:space="preserve"> broj/redni broj pošiljke“ sukladno odgovarajućem Dokumentu o prometu, a za otpad </w:t>
      </w:r>
      <w:r w:rsidRPr="00911CC3">
        <w:lastRenderedPageBreak/>
        <w:t xml:space="preserve">koji ne podliježe </w:t>
      </w:r>
      <w:proofErr w:type="spellStart"/>
      <w:r w:rsidRPr="00911CC3">
        <w:t>notifikacijskom</w:t>
      </w:r>
      <w:proofErr w:type="spellEnd"/>
      <w:r w:rsidRPr="00911CC3">
        <w:t xml:space="preserve"> postupku upisuje se naziv uvoznika i datum kad je uvoznik zaprimio pošiljku otpada sukladno obrascu iz Priloga VII. Uredbe (EZ-a) br. 1013/2006;</w:t>
      </w:r>
    </w:p>
    <w:p w:rsidR="00911CC3" w:rsidRPr="00911CC3" w:rsidRDefault="00911CC3" w:rsidP="00911CC3">
      <w:pPr>
        <w:spacing w:before="120"/>
        <w:ind w:left="709" w:hanging="425"/>
        <w:jc w:val="both"/>
      </w:pPr>
      <w:r w:rsidRPr="00911CC3">
        <w:rPr>
          <w:b/>
        </w:rPr>
        <w:t>IVP</w:t>
      </w:r>
      <w:r w:rsidRPr="00911CC3">
        <w:t xml:space="preserve"> -kad je otpad otpremljen prijevozom za vlastite potrebe na drugu lokaciju kojom raspolaže ista osoba.</w:t>
      </w:r>
    </w:p>
    <w:p w:rsidR="00911CC3" w:rsidRPr="00911CC3" w:rsidRDefault="00911CC3" w:rsidP="00911CC3">
      <w:pPr>
        <w:spacing w:before="120"/>
        <w:jc w:val="both"/>
      </w:pPr>
      <w:r w:rsidRPr="00911CC3">
        <w:t xml:space="preserve">U slučaju ispravka podatka radi usklađenja stvarnih i evidentiranih količina otpada u stupac „Način“ unosi se oznaka </w:t>
      </w:r>
      <w:r w:rsidRPr="00911CC3">
        <w:rPr>
          <w:b/>
        </w:rPr>
        <w:t>K</w:t>
      </w:r>
      <w:r w:rsidRPr="00911CC3">
        <w:t>, a u odgovarajući stupac „Ulaz“</w:t>
      </w:r>
      <w:r w:rsidRPr="00911CC3">
        <w:rPr>
          <w:i/>
        </w:rPr>
        <w:t xml:space="preserve"> </w:t>
      </w:r>
      <w:r w:rsidRPr="00911CC3">
        <w:t>odnosno „Izlaz“ unosi se masa otpada za koju se ispravlja materijalna bilanca sukladno prihvatljivim promjenama mase (rasap, padaline, otpadna voda itd.), pri čemu se u istom retku u stupac „Napomena“ unosi odgovarajuće obrazloženje.</w:t>
      </w:r>
    </w:p>
    <w:p w:rsidR="00911CC3" w:rsidRPr="00911CC3" w:rsidRDefault="00911CC3" w:rsidP="00911CC3">
      <w:pPr>
        <w:spacing w:before="120"/>
        <w:jc w:val="both"/>
      </w:pPr>
      <w:r w:rsidRPr="00911CC3">
        <w:rPr>
          <w:rFonts w:eastAsia="Calibri"/>
        </w:rPr>
        <w:t>U slučaju ulaza i izlaza otpada koji se smatra posebnom kategorijom otpada, iza oznake ulaza otpada i oznake izlaza otpada upisuje se oznaka propisana posebnim propisom koji uređuje gospodarenje posebnom kategorijom otpada.</w:t>
      </w:r>
    </w:p>
    <w:p w:rsidR="00911CC3" w:rsidRPr="00911CC3" w:rsidRDefault="00911CC3" w:rsidP="00911CC3">
      <w:pPr>
        <w:spacing w:before="120"/>
        <w:jc w:val="both"/>
      </w:pPr>
      <w:r w:rsidRPr="00911CC3">
        <w:t xml:space="preserve">U stupac </w:t>
      </w:r>
      <w:r w:rsidRPr="00911CC3">
        <w:rPr>
          <w:b/>
        </w:rPr>
        <w:t>Stanje</w:t>
      </w:r>
      <w:r w:rsidRPr="00911CC3">
        <w:t xml:space="preserve"> upisuje se masa odgovarajuće vrste otpada koja se nalazi na lokaciji i koja mora odgovarati materijalnoj bilanci sukladno stupcima „Ulaz“ i „Izlaz“. Status „Stanje“ upisuje se  iza svake promjene stanja u istom retku u kojem se nalazi odgovarajući „Ulaz“ ili „Izlaz“ temeljem kojeg je promjena stanja i nastala. </w:t>
      </w:r>
    </w:p>
    <w:p w:rsidR="00911CC3" w:rsidRPr="00911CC3" w:rsidRDefault="00911CC3" w:rsidP="00911CC3">
      <w:pPr>
        <w:spacing w:before="120"/>
        <w:jc w:val="both"/>
      </w:pPr>
      <w:r w:rsidRPr="00911CC3">
        <w:t xml:space="preserve">U stupac </w:t>
      </w:r>
      <w:r w:rsidRPr="00911CC3">
        <w:rPr>
          <w:b/>
        </w:rPr>
        <w:t>Napomena</w:t>
      </w:r>
      <w:r w:rsidRPr="00911CC3">
        <w:t xml:space="preserve"> upisuju se pomoćni podaci sukladno potrebama osobe koja vodi ONTO. </w:t>
      </w:r>
    </w:p>
    <w:p w:rsidR="00911CC3" w:rsidRPr="00911CC3" w:rsidRDefault="00911CC3" w:rsidP="00911CC3">
      <w:pPr>
        <w:spacing w:before="120"/>
        <w:jc w:val="both"/>
      </w:pPr>
    </w:p>
    <w:p w:rsidR="006455A5" w:rsidRPr="000F1A66" w:rsidRDefault="006455A5" w:rsidP="006455A5">
      <w:pPr>
        <w:spacing w:line="100" w:lineRule="atLeast"/>
        <w:ind w:left="11896"/>
        <w:rPr>
          <w:rFonts w:ascii="Palatino Linotype" w:hAnsi="Palatino Linotype" w:cs="Palatino Linotype"/>
          <w:b/>
        </w:rPr>
      </w:pPr>
      <w:bookmarkStart w:id="0" w:name="_GoBack"/>
      <w:bookmarkEnd w:id="0"/>
    </w:p>
    <w:sectPr w:rsidR="006455A5" w:rsidRPr="000F1A66" w:rsidSect="006455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A5"/>
    <w:rsid w:val="00436642"/>
    <w:rsid w:val="00511FAA"/>
    <w:rsid w:val="006455A5"/>
    <w:rsid w:val="006B1174"/>
    <w:rsid w:val="006F7A7D"/>
    <w:rsid w:val="00911CC3"/>
    <w:rsid w:val="009C5FBB"/>
    <w:rsid w:val="00AB554C"/>
    <w:rsid w:val="00E074C4"/>
    <w:rsid w:val="00F37607"/>
    <w:rsid w:val="00FB04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B0AB8-B7CA-47F4-9AEC-5F3A28AC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455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7485</Characters>
  <Application>Microsoft Office Word</Application>
  <DocSecurity>0</DocSecurity>
  <Lines>62</Lines>
  <Paragraphs>17</Paragraphs>
  <ScaleCrop>false</ScaleCrop>
  <Company>Hewlett-Packard Company</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Tonćika Jarak</dc:creator>
  <cp:keywords/>
  <dc:description/>
  <cp:lastModifiedBy>Tonćika Jarak</cp:lastModifiedBy>
  <cp:revision>2</cp:revision>
  <dcterms:created xsi:type="dcterms:W3CDTF">2019-04-30T09:54:00Z</dcterms:created>
  <dcterms:modified xsi:type="dcterms:W3CDTF">2019-04-30T09:54:00Z</dcterms:modified>
</cp:coreProperties>
</file>